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189.9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238.4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248.6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263.8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266.0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266.9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271.0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278.7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282.3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287.1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288.9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291.9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293.3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296.5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298.7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305.7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307.7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310.5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312.9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317.6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318.5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319.9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321.1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324.2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