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15.2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23.4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25.2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28.2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46.7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69.2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71.8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88.2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89.0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106.8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134.2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143.9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160.5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165.3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173.9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176.7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198.4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201.2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206.9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218.5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233.3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236.1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240.4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241.4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244.4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247.1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248.9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252.1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255.4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258.3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260.9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263.7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267.7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268.7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269.1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271.8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276.4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277.8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278.8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280.6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281.1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282.2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283.8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290.0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292.5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293.8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294.8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295.6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297.1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299.0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301.5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305.2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310.7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313.6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316.4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318.1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318.7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319.4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320.8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326.6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327.4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327.8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331.9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333.1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336.3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338.9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340.7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342.6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343.8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344.3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347.6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350.2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352.6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354.2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355.7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363.1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364.4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368.2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370.9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376.6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377.8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382.1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383.6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384.4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387.9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388.7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392.3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393.5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394.7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395.3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399.8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400.8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401.4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402.2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409.7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410.4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411.9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414.8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416.4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423.4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